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Охрана здоровья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jc w:val="both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Cousine" w:cs="Cousine" w:eastAsia="Cousine" w:hAnsi="Cousine"/>
          <w:color w:val="0000ff"/>
          <w:sz w:val="21"/>
          <w:szCs w:val="21"/>
          <w:rtl w:val="0"/>
        </w:rPr>
        <w:t xml:space="preserve">Медицинский персонал МБДОУ № 65 тщательно контролирует и координирует весь образовательный процесс в учреждении, следит за соблюдением правил, требований и норм.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495" w:lineRule="auto"/>
        <w:jc w:val="both"/>
        <w:rPr>
          <w:rFonts w:ascii="Georgia" w:cs="Georgia" w:eastAsia="Georgia" w:hAnsi="Georgia"/>
          <w:color w:val="0000ff"/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 целях обеспечения охраны здоровья обучающихся проводятся следующие мероприятия: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30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ведение календаря профилактических прививок,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осмотр дошкольников на энтеробиоз,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регулярный осмотр воспитанников на педикулез,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измерение антропометрических данных,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работа бракеражной комиссии,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0" w:afterAutospacing="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предэпидемиологические меры по гриппу H1N1 и гепатиту А,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0" w:beforeAutospacing="0" w:line="377.14285714285717" w:lineRule="auto"/>
        <w:ind w:left="1020" w:hanging="360"/>
        <w:rPr>
          <w:sz w:val="21"/>
          <w:szCs w:val="21"/>
        </w:rPr>
      </w:pPr>
      <w:r w:rsidDel="00000000" w:rsidR="00000000" w:rsidRPr="00000000">
        <w:rPr>
          <w:rFonts w:ascii="Georgia" w:cs="Georgia" w:eastAsia="Georgia" w:hAnsi="Georgia"/>
          <w:color w:val="0000ff"/>
          <w:sz w:val="21"/>
          <w:szCs w:val="21"/>
          <w:rtl w:val="0"/>
        </w:rPr>
        <w:t xml:space="preserve">системная работа по профилактике и предупреждению травматизма среди воспитанников во время образовательного процесса и соблюдения режимных моментов.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-18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ind w:left="360"/>
        <w:jc w:val="both"/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Verdana"/>
  <w:font w:name="Cousin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color w:val="555555"/>
        <w:sz w:val="16"/>
        <w:szCs w:val="16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ousine-regular.ttf"/><Relationship Id="rId2" Type="http://schemas.openxmlformats.org/officeDocument/2006/relationships/font" Target="fonts/Cousine-bold.ttf"/><Relationship Id="rId3" Type="http://schemas.openxmlformats.org/officeDocument/2006/relationships/font" Target="fonts/Cousine-italic.ttf"/><Relationship Id="rId4" Type="http://schemas.openxmlformats.org/officeDocument/2006/relationships/font" Target="fonts/Cousin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